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C9" w:rsidRPr="006A146F" w:rsidRDefault="00C860C9" w:rsidP="00C860C9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1C131F">
        <w:rPr>
          <w:b/>
          <w:noProof/>
          <w:sz w:val="24"/>
          <w:lang w:val="en-US"/>
        </w:rPr>
        <w:t xml:space="preserve">3GPP TSG-RAN </w:t>
      </w:r>
      <w:r w:rsidRPr="00B86817">
        <w:rPr>
          <w:b/>
          <w:noProof/>
          <w:sz w:val="24"/>
          <w:lang w:val="en-US"/>
        </w:rPr>
        <w:t xml:space="preserve">WG2 </w:t>
      </w:r>
      <w:r w:rsidRPr="00634B06">
        <w:rPr>
          <w:b/>
          <w:noProof/>
          <w:sz w:val="24"/>
          <w:lang w:val="en-US"/>
        </w:rPr>
        <w:t>Meeting #</w:t>
      </w:r>
      <w:r w:rsidRPr="00B86817">
        <w:rPr>
          <w:b/>
          <w:noProof/>
          <w:sz w:val="24"/>
          <w:lang w:val="en-US"/>
        </w:rPr>
        <w:t>10</w:t>
      </w:r>
      <w:r w:rsidR="00FC0794">
        <w:rPr>
          <w:rFonts w:eastAsia="맑은 고딕"/>
          <w:b/>
          <w:noProof/>
          <w:sz w:val="24"/>
          <w:lang w:val="en-US" w:eastAsia="ko-KR"/>
        </w:rPr>
        <w:t>7</w:t>
      </w:r>
      <w:r w:rsidR="00DC3A93"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</w:t>
      </w:r>
      <w:r w:rsidR="008C10C3">
        <w:rPr>
          <w:b/>
          <w:noProof/>
          <w:sz w:val="24"/>
          <w:lang w:val="en-US" w:eastAsia="ko-KR"/>
        </w:rPr>
        <w:t xml:space="preserve">    </w:t>
      </w:r>
      <w:r w:rsidR="00B50D99" w:rsidRPr="004A1D32">
        <w:rPr>
          <w:b/>
          <w:i/>
          <w:sz w:val="32"/>
          <w:lang w:val="sv-SE" w:eastAsia="ko-KR"/>
        </w:rPr>
        <w:t>R2-</w:t>
      </w:r>
      <w:r w:rsidR="004A1D32" w:rsidRPr="004A1D32">
        <w:rPr>
          <w:b/>
          <w:i/>
          <w:sz w:val="32"/>
          <w:lang w:val="sv-SE" w:eastAsia="ko-KR"/>
        </w:rPr>
        <w:t>1911340</w:t>
      </w:r>
    </w:p>
    <w:p w:rsidR="00BB7461" w:rsidRPr="00E035DC" w:rsidRDefault="00FC0794" w:rsidP="00BB7461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FC0794">
        <w:rPr>
          <w:rFonts w:eastAsiaTheme="minorEastAsia"/>
          <w:b/>
          <w:sz w:val="24"/>
          <w:lang w:eastAsia="ko-KR"/>
        </w:rPr>
        <w:t>Prague, Czech Republic,</w:t>
      </w:r>
      <w:r>
        <w:rPr>
          <w:rFonts w:eastAsiaTheme="minorEastAsia"/>
          <w:b/>
          <w:sz w:val="24"/>
          <w:lang w:eastAsia="ko-KR"/>
        </w:rPr>
        <w:t xml:space="preserve"> </w:t>
      </w:r>
      <w:r w:rsidRPr="00FC0794">
        <w:rPr>
          <w:rFonts w:eastAsiaTheme="minorEastAsia"/>
          <w:b/>
          <w:sz w:val="24"/>
          <w:lang w:eastAsia="ko-KR"/>
        </w:rPr>
        <w:t>26th - 30th August 2019</w:t>
      </w:r>
      <w:r w:rsidR="00BB7461">
        <w:rPr>
          <w:rFonts w:eastAsiaTheme="minorEastAsia"/>
          <w:b/>
          <w:sz w:val="24"/>
          <w:lang w:eastAsia="ko-KR"/>
        </w:rPr>
        <w:tab/>
      </w:r>
      <w:r w:rsidR="00BB7461">
        <w:rPr>
          <w:rFonts w:eastAsiaTheme="minorEastAsia"/>
          <w:b/>
          <w:sz w:val="24"/>
          <w:lang w:eastAsia="ko-KR"/>
        </w:rPr>
        <w:tab/>
      </w:r>
      <w:r w:rsidR="00BB7461">
        <w:rPr>
          <w:rFonts w:eastAsiaTheme="minorEastAsia"/>
          <w:b/>
          <w:sz w:val="24"/>
          <w:lang w:eastAsia="ko-KR"/>
        </w:rPr>
        <w:tab/>
      </w:r>
      <w:r w:rsidR="00BB7461">
        <w:rPr>
          <w:rFonts w:eastAsiaTheme="minorEastAsia"/>
          <w:b/>
          <w:sz w:val="24"/>
          <w:lang w:eastAsia="ko-KR"/>
        </w:rPr>
        <w:tab/>
      </w:r>
    </w:p>
    <w:p w:rsidR="00C860C9" w:rsidRPr="00BB7461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4A1D32">
        <w:rPr>
          <w:rFonts w:cs="Arial"/>
          <w:noProof/>
          <w:sz w:val="24"/>
          <w:szCs w:val="24"/>
          <w:lang w:val="en-US" w:eastAsia="ko-KR"/>
        </w:rPr>
        <w:t>1</w:t>
      </w:r>
      <w:r w:rsidRPr="004A1D32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4A1D32">
        <w:rPr>
          <w:rFonts w:cs="Arial"/>
          <w:noProof/>
          <w:sz w:val="24"/>
          <w:szCs w:val="24"/>
          <w:lang w:val="en-US" w:eastAsia="ko-KR"/>
        </w:rPr>
        <w:t>.</w:t>
      </w:r>
      <w:r w:rsidRPr="004A1D32">
        <w:rPr>
          <w:rFonts w:eastAsia="맑은 고딕" w:cs="Arial" w:hint="eastAsia"/>
          <w:noProof/>
          <w:sz w:val="24"/>
          <w:szCs w:val="24"/>
          <w:lang w:val="en-US" w:eastAsia="ko-KR"/>
        </w:rPr>
        <w:t>1</w:t>
      </w:r>
      <w:r w:rsidRPr="004A1D32">
        <w:rPr>
          <w:rFonts w:cs="Arial"/>
          <w:noProof/>
          <w:sz w:val="24"/>
          <w:szCs w:val="24"/>
          <w:lang w:val="en-US" w:eastAsia="ko-KR"/>
        </w:rPr>
        <w:t>.</w:t>
      </w:r>
      <w:r w:rsidR="00586559" w:rsidRPr="004A1D32">
        <w:rPr>
          <w:rFonts w:cs="Arial"/>
          <w:noProof/>
          <w:sz w:val="24"/>
          <w:szCs w:val="24"/>
          <w:lang w:val="en-US" w:eastAsia="ko-KR"/>
        </w:rPr>
        <w:t>4</w:t>
      </w:r>
      <w:r w:rsidRPr="004A1D32">
        <w:rPr>
          <w:rFonts w:cs="Arial"/>
          <w:noProof/>
          <w:sz w:val="24"/>
          <w:szCs w:val="24"/>
          <w:lang w:val="en-US" w:eastAsia="ko-KR"/>
        </w:rPr>
        <w:t xml:space="preserve"> (</w:t>
      </w:r>
      <w:r w:rsidR="00EA756C" w:rsidRPr="004A1D32">
        <w:rPr>
          <w:rFonts w:cs="Arial"/>
          <w:sz w:val="24"/>
          <w:szCs w:val="24"/>
          <w:lang w:val="en-US" w:eastAsia="ko-KR"/>
        </w:rPr>
        <w:t>NR_IAB-Core</w:t>
      </w:r>
      <w:r w:rsidRPr="004A1D32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LG Electronics Inc.</w:t>
      </w:r>
      <w:r w:rsidR="003F1E35">
        <w:rPr>
          <w:rFonts w:cs="Arial"/>
          <w:noProof/>
          <w:sz w:val="24"/>
          <w:szCs w:val="24"/>
          <w:lang w:val="en-US" w:eastAsia="ko-KR"/>
        </w:rPr>
        <w:t xml:space="preserve">, </w:t>
      </w:r>
      <w:r w:rsidR="003F1E35" w:rsidRPr="004A1D32">
        <w:rPr>
          <w:rFonts w:cs="Arial"/>
          <w:noProof/>
          <w:sz w:val="24"/>
          <w:szCs w:val="24"/>
          <w:lang w:val="en-US" w:eastAsia="ko-KR"/>
        </w:rPr>
        <w:t>LG Uplus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FC0794" w:rsidRPr="00FC0794">
        <w:rPr>
          <w:rFonts w:eastAsia="맑은 고딕" w:cs="Arial"/>
          <w:noProof/>
          <w:sz w:val="24"/>
          <w:szCs w:val="24"/>
          <w:lang w:val="en-US" w:eastAsia="ko-KR"/>
        </w:rPr>
        <w:t>Further consideration on DL flow control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6C29AE" w:rsidRDefault="006C29A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0" w:name="_Ref178064866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 xml:space="preserve">the </w:t>
      </w:r>
      <w:r w:rsidR="00FC0794">
        <w:rPr>
          <w:rFonts w:ascii="Times New Roman" w:eastAsia="맑은 고딕" w:hAnsi="Times New Roman"/>
          <w:sz w:val="22"/>
          <w:szCs w:val="22"/>
          <w:lang w:eastAsia="ko-KR"/>
        </w:rPr>
        <w:t xml:space="preserve">email discussion for flow control, i.e., </w:t>
      </w:r>
      <w:r w:rsidR="00FC0794" w:rsidRPr="00FC0794">
        <w:rPr>
          <w:rFonts w:ascii="Times New Roman" w:eastAsia="맑은 고딕" w:hAnsi="Times New Roman"/>
          <w:sz w:val="22"/>
          <w:szCs w:val="22"/>
          <w:lang w:eastAsia="ko-KR"/>
        </w:rPr>
        <w:t>[106#44][IAB] Flow Control (ZTE)</w:t>
      </w:r>
      <w:r w:rsidR="00FC0794">
        <w:rPr>
          <w:rFonts w:ascii="Times New Roman" w:eastAsia="맑은 고딕" w:hAnsi="Times New Roman"/>
          <w:sz w:val="22"/>
          <w:szCs w:val="22"/>
          <w:lang w:eastAsia="ko-KR"/>
        </w:rPr>
        <w:t>, majority companies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 xml:space="preserve"> think UL flow control is not needed but they see</w:t>
      </w:r>
      <w:r w:rsidR="00FC0794">
        <w:rPr>
          <w:rFonts w:ascii="Times New Roman" w:eastAsia="맑은 고딕" w:hAnsi="Times New Roman"/>
          <w:sz w:val="22"/>
          <w:szCs w:val="22"/>
          <w:lang w:eastAsia="ko-KR"/>
        </w:rPr>
        <w:t xml:space="preserve"> needs for DL flow control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 xml:space="preserve"> including end-to-end and hop-by-hop</w:t>
      </w:r>
      <w:r w:rsidR="00E3361F">
        <w:rPr>
          <w:rFonts w:ascii="Times New Roman" w:eastAsia="맑은 고딕" w:hAnsi="Times New Roman"/>
          <w:sz w:val="22"/>
          <w:szCs w:val="22"/>
          <w:lang w:eastAsia="ko-KR"/>
        </w:rPr>
        <w:t xml:space="preserve"> manner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. This contribution discusses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more details of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 xml:space="preserve">DL flow control to </w:t>
      </w:r>
      <w:r>
        <w:rPr>
          <w:rFonts w:ascii="Times New Roman" w:eastAsia="맑은 고딕" w:hAnsi="Times New Roman"/>
          <w:sz w:val="22"/>
          <w:szCs w:val="22"/>
          <w:lang w:eastAsia="ko-KR"/>
        </w:rPr>
        <w:t>handl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 xml:space="preserve">DL </w:t>
      </w:r>
      <w:r w:rsidR="000C32F3">
        <w:rPr>
          <w:rFonts w:ascii="Times New Roman" w:eastAsia="맑은 고딕" w:hAnsi="Times New Roman"/>
          <w:sz w:val="22"/>
          <w:szCs w:val="22"/>
          <w:lang w:eastAsia="ko-KR"/>
        </w:rPr>
        <w:t xml:space="preserve">data </w:t>
      </w:r>
      <w:r w:rsidR="00387AA9">
        <w:rPr>
          <w:rFonts w:ascii="Times New Roman" w:eastAsia="맑은 고딕" w:hAnsi="Times New Roman"/>
          <w:sz w:val="22"/>
          <w:szCs w:val="22"/>
          <w:lang w:eastAsia="ko-KR"/>
        </w:rPr>
        <w:t>congestion problem properly.</w:t>
      </w:r>
    </w:p>
    <w:p w:rsidR="006C29AE" w:rsidRPr="00305309" w:rsidRDefault="006C29AE" w:rsidP="006C29AE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8C10C3" w:rsidP="008C10C3">
      <w:pPr>
        <w:pStyle w:val="1"/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Discussion</w:t>
      </w:r>
    </w:p>
    <w:p w:rsidR="006D5589" w:rsidRDefault="009D600D" w:rsidP="002571F7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figure 1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 w</w:t>
      </w:r>
      <w:r w:rsidR="002571F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hen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>DL data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congestion at the IAB node 2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occurs because </w:t>
      </w:r>
      <w:r w:rsidR="002571F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link between IAB node 1 and IAB node 2 has a problem</w:t>
      </w:r>
      <w:r w:rsidR="002571F7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2571F7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IAB node 2 can transmit all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>DL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traffics to UE2 without any problems, but all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DL 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traffics toward the IAB node 1 </w:t>
      </w:r>
      <w:r w:rsidR="006D5589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</w:t>
      </w:r>
      <w:r w:rsidR="006D558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not be transmitted.</w:t>
      </w:r>
      <w:r w:rsidR="006D5589" w:rsidRPr="006D5589">
        <w:t xml:space="preserve"> </w:t>
      </w:r>
      <w:r w:rsidR="006D5589" w:rsidRPr="006D5589">
        <w:rPr>
          <w:rFonts w:ascii="Times New Roman" w:eastAsia="맑은 고딕" w:hAnsi="Times New Roman"/>
          <w:sz w:val="22"/>
          <w:szCs w:val="22"/>
          <w:lang w:val="en-US" w:eastAsia="ko-KR"/>
        </w:rPr>
        <w:t>This means that only IAB node 1 involves in downlink data congestion at the IAB node 2.</w:t>
      </w:r>
      <w:r w:rsidR="0045455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Thus, </w:t>
      </w:r>
    </w:p>
    <w:p w:rsidR="002571F7" w:rsidRDefault="002571F7" w:rsidP="002571F7">
      <w:pPr>
        <w:keepNext/>
        <w:jc w:val="center"/>
      </w:pPr>
      <w:r>
        <w:object w:dxaOrig="10770" w:dyaOrig="3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7pt;height:112.3pt" o:ole="">
            <v:imagedata r:id="rId7" o:title=""/>
          </v:shape>
          <o:OLEObject Type="Embed" ProgID="Visio.Drawing.15" ShapeID="_x0000_i1025" DrawAspect="Content" ObjectID="_1627467949" r:id="rId8"/>
        </w:object>
      </w:r>
    </w:p>
    <w:p w:rsidR="002571F7" w:rsidRPr="009D3690" w:rsidRDefault="002571F7" w:rsidP="002571F7">
      <w:pPr>
        <w:pStyle w:val="a6"/>
        <w:rPr>
          <w:rFonts w:ascii="Times New Roman" w:eastAsia="맑은 고딕" w:hAnsi="Times New Roman"/>
          <w:b w:val="0"/>
          <w:sz w:val="22"/>
          <w:szCs w:val="22"/>
          <w:lang w:val="en-US" w:eastAsia="ko-KR"/>
        </w:rPr>
      </w:pPr>
      <w:r w:rsidRPr="009D3690">
        <w:rPr>
          <w:b w:val="0"/>
        </w:rPr>
        <w:t xml:space="preserve">Figure </w:t>
      </w:r>
      <w:r w:rsidRPr="009D3690">
        <w:rPr>
          <w:b w:val="0"/>
        </w:rPr>
        <w:fldChar w:fldCharType="begin"/>
      </w:r>
      <w:r w:rsidRPr="009D3690">
        <w:rPr>
          <w:b w:val="0"/>
        </w:rPr>
        <w:instrText xml:space="preserve"> SEQ Figure \* ARABIC </w:instrText>
      </w:r>
      <w:r w:rsidRPr="009D3690">
        <w:rPr>
          <w:b w:val="0"/>
        </w:rPr>
        <w:fldChar w:fldCharType="separate"/>
      </w:r>
      <w:r w:rsidRPr="009D3690">
        <w:rPr>
          <w:b w:val="0"/>
          <w:noProof/>
        </w:rPr>
        <w:t>1</w:t>
      </w:r>
      <w:r w:rsidRPr="009D3690">
        <w:rPr>
          <w:b w:val="0"/>
        </w:rPr>
        <w:fldChar w:fldCharType="end"/>
      </w:r>
      <w:r w:rsidRPr="009D3690">
        <w:rPr>
          <w:rFonts w:eastAsia="맑은 고딕" w:hint="eastAsia"/>
          <w:b w:val="0"/>
          <w:lang w:eastAsia="ko-KR"/>
        </w:rPr>
        <w:t xml:space="preserve">. </w:t>
      </w:r>
      <w:r>
        <w:rPr>
          <w:rFonts w:eastAsia="맑은 고딕" w:hint="eastAsia"/>
          <w:b w:val="0"/>
          <w:lang w:eastAsia="ko-KR"/>
        </w:rPr>
        <w:t>Example figure to describe downlink data congestion handling.</w:t>
      </w:r>
    </w:p>
    <w:p w:rsidR="009D600D" w:rsidRDefault="002571F7" w:rsidP="006D5589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this condition,</w:t>
      </w:r>
      <w:r w:rsidR="00513A4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there is no reason to block DL traffics towards UE 2 and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 w:rsidR="00454557">
        <w:rPr>
          <w:rFonts w:ascii="Times New Roman" w:eastAsia="맑은 고딕" w:hAnsi="Times New Roman"/>
          <w:sz w:val="22"/>
          <w:szCs w:val="22"/>
          <w:lang w:val="en-US" w:eastAsia="ko-KR"/>
        </w:rPr>
        <w:t>the DL</w:t>
      </w:r>
      <w:r w:rsidR="009D600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flow control</w:t>
      </w:r>
      <w:r w:rsidR="0045455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mechanism</w:t>
      </w:r>
      <w:r w:rsidR="00513A48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45455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including both</w:t>
      </w:r>
      <w:r w:rsidR="009D600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end-to-end </w:t>
      </w:r>
      <w:r w:rsidR="00454557">
        <w:rPr>
          <w:rFonts w:ascii="Times New Roman" w:eastAsia="맑은 고딕" w:hAnsi="Times New Roman"/>
          <w:sz w:val="22"/>
          <w:szCs w:val="22"/>
          <w:lang w:val="en-US" w:eastAsia="ko-KR"/>
        </w:rPr>
        <w:t>and</w:t>
      </w:r>
      <w:r w:rsidR="009D600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hop-by-hop</w:t>
      </w:r>
      <w:r w:rsidR="00454557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manner should not block DL traffics not causing congestion, i.e., traffics toward UE2, and throttles only DL traffics causing DL data congestion, i.e., traffics toward </w:t>
      </w:r>
      <w:r w:rsidR="00513A4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IAB node 1. </w:t>
      </w:r>
    </w:p>
    <w:p w:rsidR="00513A48" w:rsidRPr="0045512E" w:rsidRDefault="00513A48" w:rsidP="00513A48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throttles only DL traffics causing DL data congestion.</w:t>
      </w:r>
    </w:p>
    <w:p w:rsidR="00513A48" w:rsidRPr="00513A48" w:rsidRDefault="00513A48" w:rsidP="006D55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03098D" w:rsidRDefault="009777E8" w:rsidP="006D5589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per the agreement, </w:t>
      </w:r>
      <w:r w:rsidRPr="009777E8">
        <w:rPr>
          <w:rFonts w:ascii="Times New Roman" w:eastAsia="맑은 고딕" w:hAnsi="Times New Roman"/>
          <w:sz w:val="22"/>
          <w:szCs w:val="22"/>
          <w:lang w:val="en-US" w:eastAsia="ko-KR"/>
        </w:rPr>
        <w:t>the NR UP protocol is considered baseline for end-to-end flow control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The current NR UP protocol, e.g., DDDS, is to provide feedback from </w:t>
      </w:r>
      <w:r w:rsidRPr="009777E8">
        <w:rPr>
          <w:rFonts w:ascii="Times New Roman" w:eastAsia="맑은 고딕" w:hAnsi="Times New Roman"/>
          <w:sz w:val="22"/>
          <w:szCs w:val="22"/>
          <w:lang w:val="en-US" w:eastAsia="ko-KR"/>
        </w:rPr>
        <w:t>the corresponding node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, i.e., access IAB DU,</w:t>
      </w:r>
      <w:r w:rsidRPr="009777E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to the node hosting the NR PDCP entity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i.e., IAB donor CU, </w:t>
      </w:r>
      <w:r w:rsidRPr="00224FB0">
        <w:rPr>
          <w:rFonts w:ascii="Times New Roman" w:eastAsia="맑은 고딕" w:hAnsi="Times New Roman"/>
          <w:sz w:val="22"/>
          <w:szCs w:val="22"/>
          <w:lang w:eastAsia="ko-KR"/>
        </w:rPr>
        <w:t>to allow the node hosting the NR PDCP entity to control the downlink user data flow via the corresponding node for the respective data radio bearer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. This means that the IAB node 2 can request end-to-end flow control for DL traffics toward UE 2, but cannot request end-to-end flow control for DL traffics toward IAB node 1. </w:t>
      </w:r>
      <w:r w:rsidR="00A7137F">
        <w:rPr>
          <w:rFonts w:ascii="Times New Roman" w:eastAsia="맑은 고딕" w:hAnsi="Times New Roman"/>
          <w:sz w:val="22"/>
          <w:szCs w:val="22"/>
          <w:lang w:eastAsia="ko-KR"/>
        </w:rPr>
        <w:t>Thus, 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 achieve proposal </w:t>
      </w:r>
      <w:r w:rsidR="00A7137F">
        <w:rPr>
          <w:rFonts w:ascii="Times New Roman" w:eastAsia="맑은 고딕" w:hAnsi="Times New Roman"/>
          <w:sz w:val="22"/>
          <w:szCs w:val="22"/>
          <w:lang w:eastAsia="ko-KR"/>
        </w:rPr>
        <w:t>1, it is inevitable to enhance NR UP protocol</w:t>
      </w:r>
      <w:r w:rsidR="00943F33">
        <w:rPr>
          <w:rFonts w:ascii="Times New Roman" w:eastAsia="맑은 고딕" w:hAnsi="Times New Roman"/>
          <w:sz w:val="22"/>
          <w:szCs w:val="22"/>
          <w:lang w:eastAsia="ko-KR"/>
        </w:rPr>
        <w:t xml:space="preserve"> or introduce new end-to-end flow control mechanism</w:t>
      </w:r>
      <w:r w:rsidR="00A7137F">
        <w:rPr>
          <w:rFonts w:ascii="Times New Roman" w:eastAsia="맑은 고딕" w:hAnsi="Times New Roman"/>
          <w:sz w:val="22"/>
          <w:szCs w:val="22"/>
          <w:lang w:eastAsia="ko-KR"/>
        </w:rPr>
        <w:t xml:space="preserve"> to throttl</w:t>
      </w:r>
      <w:r w:rsidR="00A7137F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es </w:t>
      </w:r>
      <w:r w:rsidR="00A7137F">
        <w:rPr>
          <w:rFonts w:ascii="Times New Roman" w:eastAsia="맑은 고딕" w:hAnsi="Times New Roman"/>
          <w:sz w:val="22"/>
          <w:szCs w:val="22"/>
          <w:lang w:val="en-US" w:eastAsia="ko-KR"/>
        </w:rPr>
        <w:t>only DL traffics toward IAB node 1 in figure 1</w:t>
      </w:r>
      <w:r w:rsidR="00943F33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03098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should allow the intermediate IAB node to request end-to-end flow control </w:t>
      </w:r>
      <w:r w:rsidR="008B3E1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for the BH link </w:t>
      </w:r>
      <w:r w:rsidR="0003098D">
        <w:rPr>
          <w:rFonts w:ascii="Times New Roman" w:eastAsia="맑은 고딕" w:hAnsi="Times New Roman"/>
          <w:sz w:val="22"/>
          <w:szCs w:val="22"/>
          <w:lang w:val="en-US" w:eastAsia="ko-KR"/>
        </w:rPr>
        <w:t>to the IAB donor CU.</w:t>
      </w:r>
    </w:p>
    <w:p w:rsidR="008B3E15" w:rsidRDefault="0003098D" w:rsidP="0003098D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lastRenderedPageBreak/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End-to-end DL flow control should allow the intermediate IAB node to </w:t>
      </w:r>
      <w:r w:rsidR="008B3E15" w:rsidRPr="008B3E1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request </w:t>
      </w:r>
      <w:r w:rsidR="00175DB4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 </w:t>
      </w:r>
      <w:r w:rsidR="008B3E15" w:rsidRPr="008B3E1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flow control for </w:t>
      </w:r>
      <w:r w:rsidR="00175DB4">
        <w:rPr>
          <w:rFonts w:ascii="Times New Roman" w:eastAsia="맑은 고딕" w:hAnsi="Times New Roman"/>
          <w:b/>
          <w:sz w:val="22"/>
          <w:szCs w:val="22"/>
          <w:lang w:eastAsia="ko-KR"/>
        </w:rPr>
        <w:t>data congestion on the</w:t>
      </w:r>
      <w:r w:rsidR="008B3E15" w:rsidRPr="008B3E1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BH link to the IAB donor CU</w:t>
      </w:r>
      <w:r w:rsidR="008B3E15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760244" w:rsidRDefault="00760244" w:rsidP="006D5589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D17B56" w:rsidRDefault="009777E8" w:rsidP="00D17B56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next discussion should be how to achieve proposal 1 in </w:t>
      </w:r>
      <w:r w:rsidR="00175DB4">
        <w:rPr>
          <w:rFonts w:ascii="Times New Roman" w:eastAsia="맑은 고딕" w:hAnsi="Times New Roman"/>
          <w:sz w:val="22"/>
          <w:szCs w:val="22"/>
          <w:lang w:val="en-US" w:eastAsia="ko-KR"/>
        </w:rPr>
        <w:t>hop-by-hop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flow control.</w:t>
      </w:r>
      <w:r w:rsidR="00175DB4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>As shown in figure 1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and 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>below agreement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 BAP routing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congested IAB node (IAB node 2) has routing and bearer mapping table and can know which destination 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>BAP address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forwarded to the congested child link (IAB node 1) and the associated BH RLC channel. In this condition, the IAB node 2 sends to a flow control feedback with destination 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>BAP addresse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s, which are forwarded to the IAB node 1, to the parent node. Then the IAB node 3 can 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>throttle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or block DL traffics for the received destination 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>BAP address</w:t>
      </w:r>
      <w:r w:rsidR="00D17B56" w:rsidRP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indicated by the flow control feedback.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>us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</w:t>
      </w:r>
      <w:r w:rsidR="00D17B56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flow control feedback for hop-by-hop flow control contain destination 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BAP address causing 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>DL data congestion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the parent IAB node can throttle </w:t>
      </w:r>
      <w:r w:rsidR="00960E30" w:rsidRPr="00960E30">
        <w:rPr>
          <w:rFonts w:ascii="Times New Roman" w:eastAsia="맑은 고딕" w:hAnsi="Times New Roman"/>
          <w:sz w:val="22"/>
          <w:szCs w:val="22"/>
          <w:lang w:val="en-US" w:eastAsia="ko-KR"/>
        </w:rPr>
        <w:t>only DL traffics causing DL data congestion</w:t>
      </w:r>
      <w:r w:rsidR="00960E3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0474" w:rsidTr="00E77F6B">
        <w:tc>
          <w:tcPr>
            <w:tcW w:w="9629" w:type="dxa"/>
          </w:tcPr>
          <w:p w:rsidR="00310474" w:rsidRPr="003651C5" w:rsidRDefault="00310474" w:rsidP="00E77F6B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 w:rsidRPr="003651C5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The BAP routing id (carried in the BAP header) consists of BAP address and BAP path ID. Encoding of the path ID in the header is FFS.</w:t>
            </w:r>
          </w:p>
          <w:p w:rsidR="00310474" w:rsidRPr="003651C5" w:rsidRDefault="00310474" w:rsidP="00E77F6B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 w:rsidRPr="003651C5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Each BAP address defines a unique destination (unique for IAB network of one Donor , either an IAB access node, or the IAB donor)</w:t>
            </w:r>
          </w:p>
          <w:p w:rsidR="00310474" w:rsidRDefault="00310474" w:rsidP="00960E30">
            <w:pPr>
              <w:jc w:val="left"/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</w:pPr>
            <w:r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 xml:space="preserve">- </w:t>
            </w:r>
            <w:r w:rsidRPr="003651C5">
              <w:rPr>
                <w:rFonts w:ascii="Times New Roman" w:eastAsia="맑은 고딕" w:hAnsi="Times New Roman"/>
                <w:sz w:val="22"/>
                <w:szCs w:val="22"/>
                <w:lang w:val="en-US" w:eastAsia="ko-KR"/>
              </w:rPr>
              <w:t>Each BAP address can have one or multiple entries in the routing table to enable local route selection. Multiple entries is for load balancing, re-routing at RLF. For load balancing still FFS what is decided locally and/or decided by the Donor.</w:t>
            </w:r>
          </w:p>
        </w:tc>
      </w:tr>
    </w:tbl>
    <w:p w:rsidR="002571F7" w:rsidRPr="006D5589" w:rsidRDefault="002571F7" w:rsidP="008C10C3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CC5595" w:rsidRDefault="00CC5595" w:rsidP="00CC55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For hop-by-hop flow control, flow control feedback should contain destination BAP addresses which cause DL data congestion.</w:t>
      </w:r>
    </w:p>
    <w:p w:rsidR="00D232A1" w:rsidRDefault="00D232A1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8C10C3" w:rsidRDefault="00E10554" w:rsidP="008C10C3">
      <w:pPr>
        <w:pStyle w:val="1"/>
      </w:pPr>
      <w:bookmarkStart w:id="6" w:name="_Toc450908196"/>
      <w:bookmarkStart w:id="7" w:name="_In-sequence_SDU_delivery"/>
      <w:bookmarkEnd w:id="6"/>
      <w:bookmarkEnd w:id="7"/>
      <w:r>
        <w:t>Conclusion</w:t>
      </w:r>
    </w:p>
    <w:p w:rsidR="008C10C3" w:rsidRDefault="008C10C3" w:rsidP="008C10C3">
      <w:pPr>
        <w:jc w:val="left"/>
        <w:rPr>
          <w:rFonts w:eastAsia="맑은 고딕" w:cs="Arial"/>
          <w:b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this contribution, we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discussed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more detail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aspects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for </w:t>
      </w:r>
      <w:r w:rsidR="00E10554">
        <w:rPr>
          <w:rFonts w:ascii="Times New Roman" w:eastAsia="맑은 고딕" w:hAnsi="Times New Roman"/>
          <w:sz w:val="22"/>
          <w:szCs w:val="22"/>
          <w:lang w:eastAsia="ko-KR"/>
        </w:rPr>
        <w:t>DL flow control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and proposed below proposals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CA2044" w:rsidRPr="0045512E" w:rsidRDefault="00CA2044" w:rsidP="00CA204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1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Both hop-by-hop flow control and end-to-end flow control should throttles only DL traffics causing DL data congestion.</w:t>
      </w:r>
    </w:p>
    <w:p w:rsidR="00CA2044" w:rsidRDefault="00CA2044" w:rsidP="00CA204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2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End-to-end DL flow control should allow the intermediate IAB node to </w:t>
      </w:r>
      <w:r w:rsidRPr="008B3E1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request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a </w:t>
      </w:r>
      <w:r w:rsidRPr="008B3E1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flow control for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data congestion on the</w:t>
      </w:r>
      <w:r w:rsidRPr="008B3E1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BH link to the IAB donor CU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CA2044" w:rsidRDefault="00CA2044" w:rsidP="00CA2044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3</w:t>
      </w:r>
      <w:r w:rsidRPr="0045512E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For hop-by-hop flow control, flow control feedback should contain destination BAP addresses which cause DL data congestion.</w:t>
      </w:r>
      <w:bookmarkStart w:id="8" w:name="_GoBack"/>
      <w:bookmarkEnd w:id="8"/>
    </w:p>
    <w:sectPr w:rsidR="00CA204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4CD" w:rsidRDefault="009904CD">
      <w:pPr>
        <w:spacing w:after="0"/>
      </w:pPr>
      <w:r>
        <w:separator/>
      </w:r>
    </w:p>
  </w:endnote>
  <w:endnote w:type="continuationSeparator" w:id="0">
    <w:p w:rsidR="009904CD" w:rsidRDefault="009904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85F" w:rsidRDefault="00B7585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4CD" w:rsidRDefault="009904CD">
      <w:pPr>
        <w:spacing w:after="0"/>
      </w:pPr>
      <w:r>
        <w:separator/>
      </w:r>
    </w:p>
  </w:footnote>
  <w:footnote w:type="continuationSeparator" w:id="0">
    <w:p w:rsidR="009904CD" w:rsidRDefault="009904C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85F" w:rsidRDefault="00C860C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E060AEF"/>
    <w:multiLevelType w:val="hybridMultilevel"/>
    <w:tmpl w:val="67FE1524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77DC3"/>
    <w:multiLevelType w:val="hybridMultilevel"/>
    <w:tmpl w:val="F09420FA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22BF0"/>
    <w:rsid w:val="0003098D"/>
    <w:rsid w:val="00047728"/>
    <w:rsid w:val="00050C62"/>
    <w:rsid w:val="0006402A"/>
    <w:rsid w:val="00092C1A"/>
    <w:rsid w:val="00094E5F"/>
    <w:rsid w:val="000B3327"/>
    <w:rsid w:val="000B6AA5"/>
    <w:rsid w:val="000C32F3"/>
    <w:rsid w:val="000D3A9A"/>
    <w:rsid w:val="000D7090"/>
    <w:rsid w:val="00106C02"/>
    <w:rsid w:val="00175DB4"/>
    <w:rsid w:val="001D0DAD"/>
    <w:rsid w:val="001E6FE6"/>
    <w:rsid w:val="002142EA"/>
    <w:rsid w:val="00224FB0"/>
    <w:rsid w:val="002254F8"/>
    <w:rsid w:val="002402FB"/>
    <w:rsid w:val="0025422F"/>
    <w:rsid w:val="002571F7"/>
    <w:rsid w:val="002719B0"/>
    <w:rsid w:val="00272580"/>
    <w:rsid w:val="002E7B86"/>
    <w:rsid w:val="00310474"/>
    <w:rsid w:val="0034772A"/>
    <w:rsid w:val="003516A5"/>
    <w:rsid w:val="00363113"/>
    <w:rsid w:val="003651C5"/>
    <w:rsid w:val="00377FC0"/>
    <w:rsid w:val="00387AA9"/>
    <w:rsid w:val="00393333"/>
    <w:rsid w:val="003F1E35"/>
    <w:rsid w:val="00454557"/>
    <w:rsid w:val="0045512E"/>
    <w:rsid w:val="00461E79"/>
    <w:rsid w:val="004661A7"/>
    <w:rsid w:val="004A1D32"/>
    <w:rsid w:val="004B312C"/>
    <w:rsid w:val="004C78E1"/>
    <w:rsid w:val="004F2A5D"/>
    <w:rsid w:val="00511BAD"/>
    <w:rsid w:val="00513A48"/>
    <w:rsid w:val="0056496F"/>
    <w:rsid w:val="00577D4C"/>
    <w:rsid w:val="00586559"/>
    <w:rsid w:val="00604E21"/>
    <w:rsid w:val="00615410"/>
    <w:rsid w:val="00616447"/>
    <w:rsid w:val="00631652"/>
    <w:rsid w:val="0065328F"/>
    <w:rsid w:val="00664B9C"/>
    <w:rsid w:val="00666594"/>
    <w:rsid w:val="0067148D"/>
    <w:rsid w:val="0067345B"/>
    <w:rsid w:val="006C29AE"/>
    <w:rsid w:val="006D5589"/>
    <w:rsid w:val="006F0D14"/>
    <w:rsid w:val="00720A48"/>
    <w:rsid w:val="0073717E"/>
    <w:rsid w:val="00744066"/>
    <w:rsid w:val="00760244"/>
    <w:rsid w:val="00772851"/>
    <w:rsid w:val="007B29D5"/>
    <w:rsid w:val="007C77D5"/>
    <w:rsid w:val="007E1856"/>
    <w:rsid w:val="007E22EE"/>
    <w:rsid w:val="0081284E"/>
    <w:rsid w:val="0081714F"/>
    <w:rsid w:val="0083272B"/>
    <w:rsid w:val="00873A44"/>
    <w:rsid w:val="008B3E15"/>
    <w:rsid w:val="008C10C3"/>
    <w:rsid w:val="008F2607"/>
    <w:rsid w:val="00934B9F"/>
    <w:rsid w:val="00936DD3"/>
    <w:rsid w:val="00943F33"/>
    <w:rsid w:val="009562A9"/>
    <w:rsid w:val="00960C26"/>
    <w:rsid w:val="00960E30"/>
    <w:rsid w:val="009777E8"/>
    <w:rsid w:val="009904CD"/>
    <w:rsid w:val="009A6FD2"/>
    <w:rsid w:val="009B1312"/>
    <w:rsid w:val="009C31AB"/>
    <w:rsid w:val="009D600D"/>
    <w:rsid w:val="009E158C"/>
    <w:rsid w:val="00A07CEB"/>
    <w:rsid w:val="00A7137F"/>
    <w:rsid w:val="00AA12BD"/>
    <w:rsid w:val="00AC129C"/>
    <w:rsid w:val="00AE2850"/>
    <w:rsid w:val="00B235E9"/>
    <w:rsid w:val="00B35F3A"/>
    <w:rsid w:val="00B50D99"/>
    <w:rsid w:val="00B5529F"/>
    <w:rsid w:val="00B7585F"/>
    <w:rsid w:val="00BB7461"/>
    <w:rsid w:val="00C32815"/>
    <w:rsid w:val="00C34670"/>
    <w:rsid w:val="00C47B3D"/>
    <w:rsid w:val="00C84142"/>
    <w:rsid w:val="00C860C9"/>
    <w:rsid w:val="00CA2044"/>
    <w:rsid w:val="00CA6C89"/>
    <w:rsid w:val="00CC5595"/>
    <w:rsid w:val="00CC773E"/>
    <w:rsid w:val="00D17B56"/>
    <w:rsid w:val="00D232A1"/>
    <w:rsid w:val="00D72E5C"/>
    <w:rsid w:val="00D81AFE"/>
    <w:rsid w:val="00DA5B4D"/>
    <w:rsid w:val="00DB166D"/>
    <w:rsid w:val="00DC3A93"/>
    <w:rsid w:val="00E02C31"/>
    <w:rsid w:val="00E10554"/>
    <w:rsid w:val="00E3361F"/>
    <w:rsid w:val="00E5004C"/>
    <w:rsid w:val="00E835E8"/>
    <w:rsid w:val="00EA0984"/>
    <w:rsid w:val="00EA756C"/>
    <w:rsid w:val="00EB13EC"/>
    <w:rsid w:val="00ED55B2"/>
    <w:rsid w:val="00ED671A"/>
    <w:rsid w:val="00EF4B89"/>
    <w:rsid w:val="00F06246"/>
    <w:rsid w:val="00F112E5"/>
    <w:rsid w:val="00F50B30"/>
    <w:rsid w:val="00F60374"/>
    <w:rsid w:val="00F63538"/>
    <w:rsid w:val="00FB50CB"/>
    <w:rsid w:val="00FB7823"/>
    <w:rsid w:val="00FC0794"/>
    <w:rsid w:val="00FE7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699CFA-71FD-4D9E-8025-FD24F1AC8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A5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4120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8</cp:revision>
  <dcterms:created xsi:type="dcterms:W3CDTF">2019-01-28T23:45:00Z</dcterms:created>
  <dcterms:modified xsi:type="dcterms:W3CDTF">2019-08-16T04:33:00Z</dcterms:modified>
</cp:coreProperties>
</file>